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87729A" w14:textId="5756B516" w:rsidR="005A4F5A" w:rsidRDefault="00715649">
      <w:r>
        <w:rPr>
          <w:rFonts w:hint="eastAsia"/>
        </w:rPr>
        <w:t>Fig. S</w:t>
      </w:r>
      <w:r w:rsidR="00D73A53">
        <w:t>6</w:t>
      </w:r>
      <w:bookmarkStart w:id="0" w:name="_GoBack"/>
      <w:bookmarkEnd w:id="0"/>
      <w:r>
        <w:rPr>
          <w:rFonts w:hint="eastAsia"/>
        </w:rPr>
        <w:t xml:space="preserve"> Differential expressed genes of KEGG and GO in different developmental stages of Shuangya4 and NEW seeds</w:t>
      </w:r>
    </w:p>
    <w:p w14:paraId="09442CEE" w14:textId="77777777" w:rsidR="005A4F5A" w:rsidRDefault="00715649">
      <w:r>
        <w:rPr>
          <w:rFonts w:hint="eastAsia"/>
          <w:noProof/>
        </w:rPr>
        <w:drawing>
          <wp:inline distT="0" distB="0" distL="114300" distR="114300" wp14:anchorId="16B0A1BC" wp14:editId="1139579B">
            <wp:extent cx="5263515" cy="6105525"/>
            <wp:effectExtent l="0" t="0" r="13335" b="9525"/>
            <wp:docPr id="1" name="图片 1" descr="Supplementary Fig.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S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C55AB" w14:textId="77777777" w:rsidR="005A4F5A" w:rsidRDefault="005A4F5A"/>
    <w:p w14:paraId="17EF453C" w14:textId="77777777" w:rsidR="005A4F5A" w:rsidRDefault="005A4F5A"/>
    <w:p w14:paraId="513FC68B" w14:textId="77777777" w:rsidR="005A4F5A" w:rsidRDefault="00715649">
      <w:r>
        <w:rPr>
          <w:rFonts w:hint="eastAsia"/>
          <w:szCs w:val="21"/>
        </w:rPr>
        <w:t xml:space="preserve">Note: </w:t>
      </w:r>
      <w:r>
        <w:rPr>
          <w:rFonts w:hint="eastAsia"/>
          <w:szCs w:val="21"/>
        </w:rPr>
        <w:t>T</w:t>
      </w:r>
      <w:r>
        <w:rPr>
          <w:szCs w:val="21"/>
        </w:rPr>
        <w:t xml:space="preserve">he darker the color, the higher the significance. The ten most significant nodes were indicated by squares, and their functions were annotated in the graphs. </w:t>
      </w:r>
    </w:p>
    <w:sectPr w:rsidR="005A4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4FFB34" w14:textId="77777777" w:rsidR="00715649" w:rsidRDefault="00715649" w:rsidP="00D73A53">
      <w:r>
        <w:separator/>
      </w:r>
    </w:p>
  </w:endnote>
  <w:endnote w:type="continuationSeparator" w:id="0">
    <w:p w14:paraId="1C7211C0" w14:textId="77777777" w:rsidR="00715649" w:rsidRDefault="00715649" w:rsidP="00D7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5EDC3" w14:textId="77777777" w:rsidR="00715649" w:rsidRDefault="00715649" w:rsidP="00D73A53">
      <w:r>
        <w:separator/>
      </w:r>
    </w:p>
  </w:footnote>
  <w:footnote w:type="continuationSeparator" w:id="0">
    <w:p w14:paraId="7696049A" w14:textId="77777777" w:rsidR="00715649" w:rsidRDefault="00715649" w:rsidP="00D73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4F5A"/>
    <w:rsid w:val="005A4F5A"/>
    <w:rsid w:val="00715649"/>
    <w:rsid w:val="00D73A53"/>
    <w:rsid w:val="072D779C"/>
    <w:rsid w:val="1D7A21BC"/>
    <w:rsid w:val="25DA2E69"/>
    <w:rsid w:val="26DF478C"/>
    <w:rsid w:val="323B75FC"/>
    <w:rsid w:val="335C4A56"/>
    <w:rsid w:val="685A4E6C"/>
    <w:rsid w:val="75A871FA"/>
    <w:rsid w:val="77006F3E"/>
    <w:rsid w:val="7D25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CF6315"/>
  <w15:docId w15:val="{DB21BC6D-D642-4F4D-8924-24348852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annotation reference"/>
    <w:qFormat/>
    <w:rPr>
      <w:sz w:val="16"/>
      <w:szCs w:val="16"/>
    </w:rPr>
  </w:style>
  <w:style w:type="paragraph" w:styleId="a5">
    <w:name w:val="header"/>
    <w:basedOn w:val="a"/>
    <w:link w:val="a6"/>
    <w:rsid w:val="00D73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73A53"/>
    <w:rPr>
      <w:kern w:val="2"/>
      <w:sz w:val="18"/>
      <w:szCs w:val="18"/>
    </w:rPr>
  </w:style>
  <w:style w:type="paragraph" w:styleId="a7">
    <w:name w:val="footer"/>
    <w:basedOn w:val="a"/>
    <w:link w:val="a8"/>
    <w:rsid w:val="00D73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73A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健</cp:lastModifiedBy>
  <cp:revision>2</cp:revision>
  <dcterms:created xsi:type="dcterms:W3CDTF">2014-10-29T12:08:00Z</dcterms:created>
  <dcterms:modified xsi:type="dcterms:W3CDTF">2020-03-24T05:48:00Z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